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5E09" w14:textId="77777777" w:rsidR="001C5A7F" w:rsidRPr="0035493A" w:rsidRDefault="001C5A7F" w:rsidP="001C5A7F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35493A">
        <w:rPr>
          <w:rFonts w:ascii="Times New Roman" w:eastAsia="Times New Roman" w:hAnsi="Times New Roman" w:cs="Times New Roman"/>
          <w:b/>
          <w:color w:val="153D63"/>
          <w:kern w:val="0"/>
          <w:sz w:val="32"/>
          <w:szCs w:val="32"/>
          <w14:ligatures w14:val="none"/>
        </w:rPr>
        <w:t>Maharishi Vedic City</w:t>
      </w:r>
    </w:p>
    <w:p w14:paraId="724049D2" w14:textId="77777777" w:rsidR="001C5A7F" w:rsidRPr="0035493A" w:rsidRDefault="001C5A7F" w:rsidP="001C5A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Minutes of a City Council Meeting</w:t>
      </w:r>
    </w:p>
    <w:p w14:paraId="275CF33A" w14:textId="4306896F" w:rsidR="001C5A7F" w:rsidRPr="0035493A" w:rsidRDefault="001C5A7F" w:rsidP="001C5A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Wednesday, December 10, 2025, 2:30pm</w:t>
      </w:r>
    </w:p>
    <w:p w14:paraId="16399F40" w14:textId="77777777" w:rsidR="003443B9" w:rsidRPr="0035493A" w:rsidRDefault="003443B9" w:rsidP="001C5A7F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</w:p>
    <w:p w14:paraId="33EBCE50" w14:textId="6A9CA382" w:rsidR="001C5A7F" w:rsidRPr="0035493A" w:rsidRDefault="001C5A7F" w:rsidP="001C5A7F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Present: Mayor Rogers Badgett, City Council Members Chris Johnson, Leslee Goldstein, Tim Fitz-Randolph, Kathy Petersen, Maureen Wynne</w:t>
      </w:r>
    </w:p>
    <w:p w14:paraId="7856AF85" w14:textId="77777777" w:rsidR="001C5A7F" w:rsidRPr="0035493A" w:rsidRDefault="001C5A7F" w:rsidP="001C5A7F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Absent: None</w:t>
      </w:r>
    </w:p>
    <w:p w14:paraId="30988711" w14:textId="77777777" w:rsidR="001C5A7F" w:rsidRPr="0035493A" w:rsidRDefault="001C5A7F" w:rsidP="001C5A7F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Also Present: Nupur Maheshwari</w:t>
      </w:r>
    </w:p>
    <w:p w14:paraId="0C3D709E" w14:textId="237301ED" w:rsidR="005359FE" w:rsidRPr="0035493A" w:rsidRDefault="003103E3" w:rsidP="005359FE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Mayor Rogers Badgett called the meeting to order.</w:t>
      </w:r>
    </w:p>
    <w:p w14:paraId="7D5CBCF6" w14:textId="218FC0B9" w:rsidR="00310CAF" w:rsidRPr="0035493A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Three Minutes of Silence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—Three minutes of silence were observed.</w:t>
      </w:r>
    </w:p>
    <w:p w14:paraId="1666CC7E" w14:textId="479D4A2C" w:rsidR="00310CAF" w:rsidRPr="0035493A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Public Comments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—One comment was heard </w:t>
      </w:r>
      <w:r w:rsidR="0039278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about the sewer emergency and snow removal in the City</w:t>
      </w:r>
      <w:r w:rsidR="006771F3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.</w:t>
      </w:r>
    </w:p>
    <w:p w14:paraId="5875BFD0" w14:textId="25B828CC" w:rsidR="00310CAF" w:rsidRPr="0035493A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Consider Approving Minutes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3661E6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Maureen Wynne moved, Tim Fitz-Randolph seconded, to approve minutes for the meeting held November 26, 2025. Ayes: Johnson, Goldstein, Fitz-Randolph, Petersen, Wynne. Nays: None. Motion carried.</w:t>
      </w:r>
    </w:p>
    <w:p w14:paraId="081BB970" w14:textId="59C44332" w:rsidR="00310CAF" w:rsidRPr="0035493A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Consider Approving Receipts and Claims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E459A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Leslee Goldstein moved, Tim Fitz-Randolph seconded, to approve the report. Ayes: Johnson, Goldstein, Fitz-Randolph, Petersen, Wynne. Nays: None. Motion carried.</w:t>
      </w:r>
    </w:p>
    <w:p w14:paraId="3D275620" w14:textId="34429F85" w:rsidR="00310CAF" w:rsidRPr="0035493A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Consider Approving Treasurer’s Report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E459A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Leslee Goldstein moved, Kathy Petersen seconded, to approve the Treasurer’s Report for October 2025. Ayes: Johnson, Goldstein, Fitz-Randolph, Petersen, Wynne. Nays: None. Motion carried.</w:t>
      </w:r>
    </w:p>
    <w:p w14:paraId="11733571" w14:textId="6ACBF857" w:rsidR="00310CAF" w:rsidRPr="0035493A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Consider Resolution to </w:t>
      </w:r>
      <w:r w:rsidR="00757F1E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Transfer </w:t>
      </w:r>
      <w:r w:rsidR="00310CA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Funds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E459A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Tim Fitz-Randolph moved, Maureen Wynne seconded, to adopt a resolution approving the transfer of funds to the City’s operating account.</w:t>
      </w:r>
      <w:r w:rsidR="00BF7821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Ayes: Johnson, Goldstein, Fitz-Randolph, Petersen, Wynne. Nays: None. Motion carried. Resolution Number 20251210A was assigned.</w:t>
      </w:r>
    </w:p>
    <w:p w14:paraId="200C4CFD" w14:textId="271734A1" w:rsidR="00184F37" w:rsidRPr="0035493A" w:rsidRDefault="0053129D" w:rsidP="00184F3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Consider Resolution to Repay General Fund from TIF Income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BF7821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Maureen Wynne moved, Leslee Goldstein seconded, to adopt a resolution </w:t>
      </w:r>
      <w:r w:rsidR="007C050D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approving the</w:t>
      </w:r>
      <w:r w:rsidR="002134D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full </w:t>
      </w:r>
      <w:r w:rsidR="007C050D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repayment</w:t>
      </w:r>
      <w:r w:rsidR="007B36E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</w:t>
      </w:r>
      <w:r w:rsidR="007C050D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of </w:t>
      </w:r>
      <w:r w:rsidR="002134D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2024 TIF debt to the General Fund </w:t>
      </w:r>
      <w:r w:rsidR="00F000BB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with</w:t>
      </w:r>
      <w:r w:rsidR="002134D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TIF income</w:t>
      </w:r>
      <w:r w:rsidR="001E0568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. Ayes: Johnson, Goldstein, Fitz-Randolph, Petersen, Wynne. Nays: None. Motion carried. Resolution</w:t>
      </w:r>
      <w:r w:rsidR="00F000BB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Number 20251210B was assigned.</w:t>
      </w:r>
    </w:p>
    <w:p w14:paraId="3C9CF5B8" w14:textId="4E0C21F0" w:rsidR="004D610B" w:rsidRPr="0035493A" w:rsidRDefault="004D610B" w:rsidP="004D610B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Consider Resolution to Provide Financial Support to Area 15 Regional Planning Commission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C22F8C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Leslee Goldstein moved, Maureen Wynne seconded, to adopt a resolution approving </w:t>
      </w:r>
      <w:r w:rsidR="003B5321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financial support to Area 15 Regional Planning Commission. Ayes: Johnson, Goldstein, Fitz-</w:t>
      </w:r>
      <w:r w:rsidR="003B5321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lastRenderedPageBreak/>
        <w:t>Randolph, Petersen, Wynne. Nays: None. Motion carried. Resolution Number 20251210C was assigned.</w:t>
      </w:r>
    </w:p>
    <w:p w14:paraId="1AD5F6AE" w14:textId="3422797A" w:rsidR="007C228E" w:rsidRPr="0035493A" w:rsidRDefault="00184F37" w:rsidP="007C228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Consider Resolution </w:t>
      </w:r>
      <w:r w:rsidR="004E4E3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to Assum</w:t>
      </w:r>
      <w:r w:rsidR="00A035F1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e</w:t>
      </w:r>
      <w:r w:rsidR="004E4E3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ILA’s Water Utility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6771F3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Postponed.</w:t>
      </w:r>
    </w:p>
    <w:p w14:paraId="696F89E9" w14:textId="0901EC4A" w:rsidR="007C228E" w:rsidRPr="0035493A" w:rsidRDefault="00264019" w:rsidP="00264019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hAnsi="Times New Roman" w:cs="Times New Roman"/>
          <w:color w:val="153D63"/>
          <w:sz w:val="28"/>
          <w:szCs w:val="28"/>
        </w:rPr>
        <w:t>Consider Setting Date for Public Hearing for a Tax Abatement Ordinance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6771F3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Postponed.</w:t>
      </w:r>
    </w:p>
    <w:p w14:paraId="68F81AD9" w14:textId="574C72A5" w:rsidR="00310CAF" w:rsidRPr="0035493A" w:rsidRDefault="005359FE" w:rsidP="00184F3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Consider </w:t>
      </w:r>
      <w:r w:rsidR="00310CA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Sewer Emergency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0860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Tim Fitz-Randolph moved, Kathy Petersen seconded, to approve </w:t>
      </w:r>
      <w:r w:rsidR="00546F00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up to $3500 to cover the cost of repairs needed on a sewer station following a lightning strike.</w:t>
      </w:r>
      <w:r w:rsidR="0073255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Ayes: Johnson, Goldstein, Fitz-Randolph, Petersen, Wynne. Nays: None. Motion carried.</w:t>
      </w:r>
    </w:p>
    <w:p w14:paraId="49C21A8B" w14:textId="014ACFD0" w:rsidR="00EF1677" w:rsidRPr="0035493A" w:rsidRDefault="00EF1677" w:rsidP="00184F3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Consider Snow Removal in City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73255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Postponed.</w:t>
      </w:r>
    </w:p>
    <w:p w14:paraId="4CCF9423" w14:textId="74717DC2" w:rsidR="00310CAF" w:rsidRPr="0035493A" w:rsidRDefault="00310CAF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Consider Resident Request for Restitution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73255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The council discussed the situation </w:t>
      </w:r>
      <w:r w:rsidR="008743BA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presented by the resident.</w:t>
      </w:r>
      <w:r w:rsidR="00BC72C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Chris Johnson volunteered to do research to determine if the City or Mandala Six Homeowner’s Association </w:t>
      </w:r>
      <w:r w:rsidR="00015966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is responsible for damage to a resident’s yard from snow plowing.</w:t>
      </w:r>
      <w:r w:rsidR="005F121D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No action taken.</w:t>
      </w:r>
    </w:p>
    <w:p w14:paraId="54B3F3E0" w14:textId="0B7FE2E2" w:rsidR="00EF1677" w:rsidRPr="0035493A" w:rsidRDefault="00EF1677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Update on City Sign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8743BA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Leslee Goldstein and Kathy Petersen reported on the status of the City Sign.</w:t>
      </w:r>
    </w:p>
    <w:p w14:paraId="31B6015C" w14:textId="4F3864C3" w:rsidR="00310CAF" w:rsidRPr="0035493A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Subcommittee Report</w:t>
      </w:r>
      <w:r w:rsidR="00310CA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s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8743BA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The Parks, Recreation, and Celebrations committee reported </w:t>
      </w:r>
      <w:r w:rsidR="008D3DC3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that they will be offering thanks to the managers of the Walmart locations that gave</w:t>
      </w:r>
      <w:r w:rsidR="002D2703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the</w:t>
      </w:r>
      <w:r w:rsidR="008D3DC3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City grants </w:t>
      </w:r>
      <w:r w:rsidR="002D2703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in 2025, that </w:t>
      </w:r>
      <w:r w:rsidR="006F5FBA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the committee is </w:t>
      </w:r>
      <w:r w:rsidR="00385DA2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requesting volunteers to help the City apply for grants, and that the Winter Celebration will be held on Sunday, December 21</w:t>
      </w:r>
      <w:r w:rsidR="00385DA2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:vertAlign w:val="superscript"/>
          <w14:ligatures w14:val="none"/>
        </w:rPr>
        <w:t>st</w:t>
      </w:r>
      <w:r w:rsidR="00385DA2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.</w:t>
      </w:r>
    </w:p>
    <w:p w14:paraId="4A8C1BD8" w14:textId="3DD3ADC9" w:rsidR="00F81B63" w:rsidRPr="0035493A" w:rsidRDefault="005359FE" w:rsidP="003103E3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 xml:space="preserve"> Mayor and Council Comments</w:t>
      </w:r>
      <w:r w:rsidR="00E13DD5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—</w:t>
      </w:r>
      <w:r w:rsidR="00E8479F"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None were heard.</w:t>
      </w:r>
    </w:p>
    <w:p w14:paraId="5C2E9497" w14:textId="77777777" w:rsidR="00F81B63" w:rsidRPr="0035493A" w:rsidRDefault="00F81B63" w:rsidP="00F81B6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The Mayor adjourned the meeting.</w:t>
      </w:r>
    </w:p>
    <w:p w14:paraId="02074A8A" w14:textId="77777777" w:rsidR="00F81B63" w:rsidRPr="0035493A" w:rsidRDefault="00F81B63" w:rsidP="00F81B63">
      <w:pPr>
        <w:tabs>
          <w:tab w:val="left" w:pos="27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</w:p>
    <w:p w14:paraId="6CC346E7" w14:textId="77777777" w:rsidR="00F81B63" w:rsidRPr="0035493A" w:rsidRDefault="00F81B63" w:rsidP="00F81B63">
      <w:pPr>
        <w:tabs>
          <w:tab w:val="left" w:pos="27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____________________________</w:t>
      </w:r>
    </w:p>
    <w:p w14:paraId="1A8403A9" w14:textId="77777777" w:rsidR="00F81B63" w:rsidRPr="0035493A" w:rsidRDefault="00F81B63" w:rsidP="00F81B63">
      <w:pPr>
        <w:tabs>
          <w:tab w:val="left" w:pos="2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Rogers Badgett, Mayor</w:t>
      </w:r>
    </w:p>
    <w:p w14:paraId="558D18A0" w14:textId="77777777" w:rsidR="00F81B63" w:rsidRPr="0035493A" w:rsidRDefault="00F81B63" w:rsidP="00F81B63">
      <w:pPr>
        <w:tabs>
          <w:tab w:val="left" w:pos="270"/>
        </w:tabs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Attest:</w:t>
      </w:r>
    </w:p>
    <w:p w14:paraId="20F68EBD" w14:textId="77777777" w:rsidR="00F81B63" w:rsidRPr="0035493A" w:rsidRDefault="00F81B63" w:rsidP="00F81B63">
      <w:pPr>
        <w:tabs>
          <w:tab w:val="left" w:pos="27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</w:p>
    <w:p w14:paraId="2DCEAF9E" w14:textId="77777777" w:rsidR="00F81B63" w:rsidRPr="0035493A" w:rsidRDefault="00F81B63" w:rsidP="00F81B63">
      <w:pPr>
        <w:tabs>
          <w:tab w:val="left" w:pos="27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_____________________________</w:t>
      </w:r>
    </w:p>
    <w:p w14:paraId="6D341AC2" w14:textId="77777777" w:rsidR="00F81B63" w:rsidRPr="0035493A" w:rsidRDefault="00F81B63" w:rsidP="00F81B63">
      <w:pPr>
        <w:tabs>
          <w:tab w:val="left" w:pos="270"/>
        </w:tabs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35493A"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  <w:t>Nupur Maheshwari, City Clerk</w:t>
      </w:r>
    </w:p>
    <w:p w14:paraId="3DB8BC8B" w14:textId="1C3057E3" w:rsidR="00A17CA5" w:rsidRDefault="00A17CA5">
      <w:r>
        <w:br w:type="page"/>
      </w:r>
    </w:p>
    <w:p w14:paraId="05A871D1" w14:textId="3D2D1AB2" w:rsidR="00F81B63" w:rsidRPr="00F81B63" w:rsidRDefault="00A17CA5" w:rsidP="00F81B63">
      <w:r>
        <w:object w:dxaOrig="9605" w:dyaOrig="13119" w14:anchorId="06660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45pt;height:656pt" o:ole="">
            <v:imagedata r:id="rId5" o:title=""/>
          </v:shape>
          <o:OLEObject Type="Embed" ProgID="Excel.Sheet.12" ShapeID="_x0000_i1025" DrawAspect="Content" ObjectID="_1828002597" r:id="rId6"/>
        </w:object>
      </w:r>
    </w:p>
    <w:sectPr w:rsidR="00F81B63" w:rsidRPr="00F81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4153">
    <w:abstractNumId w:val="0"/>
  </w:num>
  <w:num w:numId="2" w16cid:durableId="1428311809">
    <w:abstractNumId w:val="1"/>
  </w:num>
  <w:num w:numId="3" w16cid:durableId="60492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E"/>
    <w:rsid w:val="00015966"/>
    <w:rsid w:val="0001668E"/>
    <w:rsid w:val="000528B9"/>
    <w:rsid w:val="000860D5"/>
    <w:rsid w:val="000D0933"/>
    <w:rsid w:val="00184F37"/>
    <w:rsid w:val="00190771"/>
    <w:rsid w:val="001C0225"/>
    <w:rsid w:val="001C5A7F"/>
    <w:rsid w:val="001E0568"/>
    <w:rsid w:val="002134DF"/>
    <w:rsid w:val="00264019"/>
    <w:rsid w:val="00281996"/>
    <w:rsid w:val="002C1118"/>
    <w:rsid w:val="002D2703"/>
    <w:rsid w:val="003103E3"/>
    <w:rsid w:val="00310CAF"/>
    <w:rsid w:val="003443B9"/>
    <w:rsid w:val="0035493A"/>
    <w:rsid w:val="003661E6"/>
    <w:rsid w:val="00385DA2"/>
    <w:rsid w:val="0039278F"/>
    <w:rsid w:val="003B5321"/>
    <w:rsid w:val="003D0821"/>
    <w:rsid w:val="003F4E71"/>
    <w:rsid w:val="00436A03"/>
    <w:rsid w:val="00497198"/>
    <w:rsid w:val="004A6D0B"/>
    <w:rsid w:val="004B42D8"/>
    <w:rsid w:val="004D610B"/>
    <w:rsid w:val="004E4E3F"/>
    <w:rsid w:val="00513864"/>
    <w:rsid w:val="00521310"/>
    <w:rsid w:val="0053129D"/>
    <w:rsid w:val="0053471D"/>
    <w:rsid w:val="005359FE"/>
    <w:rsid w:val="00544352"/>
    <w:rsid w:val="00546F00"/>
    <w:rsid w:val="00587324"/>
    <w:rsid w:val="005C0370"/>
    <w:rsid w:val="005F121D"/>
    <w:rsid w:val="00631445"/>
    <w:rsid w:val="00634D2A"/>
    <w:rsid w:val="00642190"/>
    <w:rsid w:val="00665920"/>
    <w:rsid w:val="0067036B"/>
    <w:rsid w:val="00671FE4"/>
    <w:rsid w:val="006771F3"/>
    <w:rsid w:val="006C06C6"/>
    <w:rsid w:val="006D4988"/>
    <w:rsid w:val="006F5FBA"/>
    <w:rsid w:val="00732555"/>
    <w:rsid w:val="00757F1E"/>
    <w:rsid w:val="007771C5"/>
    <w:rsid w:val="00796CCC"/>
    <w:rsid w:val="007B36EF"/>
    <w:rsid w:val="007C050D"/>
    <w:rsid w:val="007C228E"/>
    <w:rsid w:val="007E547C"/>
    <w:rsid w:val="008743BA"/>
    <w:rsid w:val="0089643D"/>
    <w:rsid w:val="008A69D9"/>
    <w:rsid w:val="008D3DC3"/>
    <w:rsid w:val="009A06A6"/>
    <w:rsid w:val="009B72C8"/>
    <w:rsid w:val="009C3F76"/>
    <w:rsid w:val="00A035F1"/>
    <w:rsid w:val="00A17CA5"/>
    <w:rsid w:val="00AA3298"/>
    <w:rsid w:val="00B4669E"/>
    <w:rsid w:val="00BA4F08"/>
    <w:rsid w:val="00BC72C5"/>
    <w:rsid w:val="00BF7821"/>
    <w:rsid w:val="00C02332"/>
    <w:rsid w:val="00C22F8C"/>
    <w:rsid w:val="00C57C78"/>
    <w:rsid w:val="00C7048A"/>
    <w:rsid w:val="00CB5804"/>
    <w:rsid w:val="00CE4E85"/>
    <w:rsid w:val="00CF08E3"/>
    <w:rsid w:val="00D13FBF"/>
    <w:rsid w:val="00D815AE"/>
    <w:rsid w:val="00E10F16"/>
    <w:rsid w:val="00E13DD5"/>
    <w:rsid w:val="00E459AF"/>
    <w:rsid w:val="00E8479F"/>
    <w:rsid w:val="00EF1677"/>
    <w:rsid w:val="00F000BB"/>
    <w:rsid w:val="00F40150"/>
    <w:rsid w:val="00F56BE4"/>
    <w:rsid w:val="00F81B63"/>
    <w:rsid w:val="00FC54D5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117"/>
  <w15:chartTrackingRefBased/>
  <w15:docId w15:val="{1B7B1E9F-AD93-48DB-9898-3412437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506</Words>
  <Characters>3065</Characters>
  <Application>Microsoft Office Word</Application>
  <DocSecurity>0</DocSecurity>
  <Lines>71</Lines>
  <Paragraphs>29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45</cp:revision>
  <cp:lastPrinted>2025-12-22T18:02:00Z</cp:lastPrinted>
  <dcterms:created xsi:type="dcterms:W3CDTF">2025-12-11T17:27:00Z</dcterms:created>
  <dcterms:modified xsi:type="dcterms:W3CDTF">2025-12-23T19:43:00Z</dcterms:modified>
</cp:coreProperties>
</file>